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lightGray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福建省莆田职业技术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学校关于参加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职业院校技能大赛教学能力比赛参赛团队信息公示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职业院校技能大赛教学能力比赛方案》关于参赛资格的相关要求，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我校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对本校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支参赛团队的参赛资格进行了审查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1.公共基础课程组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思想政治学科中国特色社会主义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课程参赛团队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城市轨道交通运营服务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专业并按规定备案；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城市轨道交通运营服务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专业实际存在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城市轨道交通运营服务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班，报名前该班学生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城市轨道交通运营服务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中国特色社会主义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课程，该课程相关内容在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未获全国职业院校技能大赛教学能力比赛一等奖；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校任课教师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吴晓棋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刘思佳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内实际承担了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中国特色社会主义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课程或相关课程的教学任务；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高级讲师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，近 2 年教师本人未获全国职业院校技能大赛教学能力比赛一等奖，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，近 2 年教师本人未获全国职业院校技能大赛教学能力比赛一等奖，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吴晓棋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，近 2 年教师本人未获全国职业院校技能大赛教学能力比赛一等奖，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刘思佳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助理讲师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，近 2 年教师本人未获全国职业院校技能大赛教学能力比赛一等奖，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曾获得二等奖。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2）语文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公共基础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课程参赛团队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幼儿保育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专业并按规定备案；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幼儿保育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专业实际存在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班，报名前该班学生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幼儿保育（3）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课程，该课程相关内容在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未获全国职业院校技能大赛教学能力比赛一等奖；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校任课教师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唐绍君、陈晓红、柯淯林，仙游职业中专学校任教教师黄珍烟等四人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内实际承担了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课程或相关课程的教学任务；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唐绍君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陈晓红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柯淯林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黄珍烟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仙游职业中专学校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3）公共基础学科体育与健康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课程参赛团队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美容美体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专业并按规定备案；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21级美容美体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专业实际存在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班，报名前该班学生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21级美容美体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体育与健康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课程，该课程相关内容在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未获全国职业院校技能大赛教学能力比赛一等奖；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校任课教师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郭瑞津、翁玲玲、陈淑芬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，莆田海峡职业中专学校任教教师徐丽碧等四人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内实际承担了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体育与健康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课程或相关课程的教学任务；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郭瑞津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翁玲玲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陈淑芬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徐丽碧系莆田海峡职业中专学校在职教师、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2.专业技能课程一组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1）财经商贸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短视频的创作与运营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课程参赛团队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专业并按规定备案；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专业实际存在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21电子商务（1）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班，报名前该班学生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21电子商务（1）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短视频拍摄与运营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课程，该课程相关内容在近 2 年未获全国职业院校技能大赛教学能力比赛一等奖；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校任课教师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龚芝璐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蔡爱萍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朱琳琳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实际承担了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电子商务相关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课程的教学任务；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教龄满3年、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具有讲师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职称、是双师型教师，近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龚芝璐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校在职教师、教龄满3年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具有初级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职业资格，近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蔡爱萍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校在职教师、教龄满3年、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具有高级讲师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职称、是双师型教师，近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朱琳琳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校在职教师、教龄满3年、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职称、是双师型教师，近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3.专业技能课程二组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1）信息技术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计算机网络技术专业《网络安全运维》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课程参赛团队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计算机网络技术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专业并按规定备案；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计算机网络技术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专业实际存在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21计算机网络技术（1）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班，报名前该班学生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21计算机网络技术（1）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班实际开设了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《网络搭建与应用》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课程，该课程相关内容在近 2 年未获全国职业院校技能大赛教学能力比赛一等奖；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校任课教师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陈智敏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林益敏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郑丽生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陈敏敏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实际承担了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《网络搭建与应用》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课程或相关课程的教学任务；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陈智敏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校在职教师、教龄满3年、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职称、是双师型教师，近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教师林益敏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教师郑丽生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教师陈敏敏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校在职教师、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教龄满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职称，近 2 年教师本人未获全国职业院校技能大赛教学能力比赛一等奖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二等奖。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公示时间：</w:t>
      </w:r>
      <w:r>
        <w:rPr>
          <w:rFonts w:hint="eastAsia"/>
          <w:lang w:val="en-US" w:eastAsia="zh-CN"/>
        </w:rPr>
        <w:t>2023年4月30日---5月8日（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公示期为5个工作日</w:t>
      </w:r>
      <w:r>
        <w:rPr>
          <w:rFonts w:hint="eastAsia"/>
          <w:lang w:val="en-US" w:eastAsia="zh-CN"/>
        </w:rPr>
        <w:t>）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公示电话：0594-2293566(学校办公室电话）</w:t>
      </w:r>
    </w:p>
    <w:p>
      <w:pPr>
        <w:pStyle w:val="2"/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福建省莆田职业技术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</w:t>
      </w:r>
    </w:p>
    <w:p>
      <w:pPr>
        <w:pStyle w:val="2"/>
        <w:ind w:firstLine="5440" w:firstLineChars="17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2UyYTQzMWYwYTdmYWNlNTMxMjA2ZGJiZjM1NTYifQ=="/>
  </w:docVars>
  <w:rsids>
    <w:rsidRoot w:val="48D9554C"/>
    <w:rsid w:val="02184C85"/>
    <w:rsid w:val="0A076934"/>
    <w:rsid w:val="13272F7A"/>
    <w:rsid w:val="25F4005D"/>
    <w:rsid w:val="2639031B"/>
    <w:rsid w:val="2AE62118"/>
    <w:rsid w:val="347E7606"/>
    <w:rsid w:val="3DB8486B"/>
    <w:rsid w:val="44F543D6"/>
    <w:rsid w:val="4504286C"/>
    <w:rsid w:val="48D9554C"/>
    <w:rsid w:val="4CD50CD6"/>
    <w:rsid w:val="51D31DDA"/>
    <w:rsid w:val="5B631C42"/>
    <w:rsid w:val="5EB90A2F"/>
    <w:rsid w:val="5EF7101F"/>
    <w:rsid w:val="658A7D29"/>
    <w:rsid w:val="68B825F0"/>
    <w:rsid w:val="77036B7C"/>
    <w:rsid w:val="78B40A77"/>
    <w:rsid w:val="7F0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2391</Words>
  <Characters>2434</Characters>
  <Lines>0</Lines>
  <Paragraphs>0</Paragraphs>
  <TotalTime>1</TotalTime>
  <ScaleCrop>false</ScaleCrop>
  <LinksUpToDate>false</LinksUpToDate>
  <CharactersWithSpaces>2478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2023-04-25T02:44:00Z</dcterms:created>
  <dc:creator>lenovo</dc:creator>
  <cp:lastModifiedBy>后街男孩</cp:lastModifiedBy>
  <dcterms:modified xsi:type="dcterms:W3CDTF">2023-05-07T09:25:54Z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3DAACE544D5E4D4894BD68DAE2049501_13</vt:lpwstr>
  </property>
</Properties>
</file>